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:rsidR="006D67FA" w:rsidRDefault="006D67FA" w:rsidP="006D67FA">
      <w:pPr>
        <w:tabs>
          <w:tab w:val="left" w:pos="1995"/>
        </w:tabs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Gradska knjižnica Novalja</w:t>
      </w:r>
    </w:p>
    <w:p w:rsidR="006D67FA" w:rsidRPr="00851883" w:rsidRDefault="006D67FA" w:rsidP="006D67FA">
      <w:pPr>
        <w:spacing w:after="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D0185B">
        <w:rPr>
          <w:rFonts w:ascii="Times New Roman" w:eastAsia="Calibri" w:hAnsi="Times New Roman" w:cs="Times New Roman"/>
          <w:sz w:val="24"/>
          <w:szCs w:val="24"/>
        </w:rPr>
        <w:t>400-01/24-01/02</w:t>
      </w:r>
    </w:p>
    <w:p w:rsidR="006D67FA" w:rsidRPr="00D0185B" w:rsidRDefault="00D0185B" w:rsidP="006D67FA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2125-86-24-2</w:t>
      </w:r>
    </w:p>
    <w:p w:rsidR="006D67FA" w:rsidRPr="00851883" w:rsidRDefault="006D67FA" w:rsidP="006D67FA">
      <w:pPr>
        <w:spacing w:after="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Novalja</w:t>
      </w:r>
      <w:r w:rsidRPr="00D018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85B" w:rsidRPr="00D0185B">
        <w:rPr>
          <w:rFonts w:ascii="Times New Roman" w:eastAsia="Calibri" w:hAnsi="Times New Roman" w:cs="Times New Roman"/>
          <w:sz w:val="24"/>
          <w:szCs w:val="24"/>
        </w:rPr>
        <w:t>27. prosinca</w:t>
      </w:r>
      <w:r w:rsidRPr="00D0185B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D0185B"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14.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Statuta Gradske knjižnice Novalja, v.d. ravnatelja Gradske knjižnice Novalja donosi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FINANCIJSKI PLAN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GRADSKE KNJIŽNICE NOVALJA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ZA 2025. GODINU I PROJEKCIJA ZA 2026. I 2027. GODINU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Financijski plan  Gradske knjižnice Novalja za 2025. godinu i projekcije za 2026. i 2027. godinu utvrđuje se kako slijedi:</w:t>
      </w: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67FA" w:rsidRDefault="006D67FA" w:rsidP="006D67FA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A. OPĆI DIO</w:t>
      </w:r>
    </w:p>
    <w:p w:rsidR="006D67FA" w:rsidRDefault="006D67FA" w:rsidP="006D67FA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14856" w:type="dxa"/>
        <w:tblInd w:w="93" w:type="dxa"/>
        <w:tblLook w:val="04A0" w:firstRow="1" w:lastRow="0" w:firstColumn="1" w:lastColumn="0" w:noHBand="0" w:noVBand="1"/>
      </w:tblPr>
      <w:tblGrid>
        <w:gridCol w:w="1500"/>
        <w:gridCol w:w="2372"/>
        <w:gridCol w:w="1672"/>
        <w:gridCol w:w="1217"/>
        <w:gridCol w:w="1217"/>
        <w:gridCol w:w="1495"/>
        <w:gridCol w:w="1495"/>
        <w:gridCol w:w="972"/>
        <w:gridCol w:w="972"/>
        <w:gridCol w:w="972"/>
        <w:gridCol w:w="972"/>
      </w:tblGrid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/>
        </w:tc>
        <w:tc>
          <w:tcPr>
            <w:tcW w:w="2372" w:type="dxa"/>
            <w:noWrap/>
            <w:vAlign w:val="bottom"/>
            <w:hideMark/>
          </w:tcPr>
          <w:p w:rsidR="006D67FA" w:rsidRDefault="006D67FA"/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127,22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73.660,05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101.285,40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114,13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2.081,45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220,30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559"/>
        </w:trPr>
        <w:tc>
          <w:tcPr>
            <w:tcW w:w="3872" w:type="dxa"/>
            <w:gridSpan w:val="2"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</w:tr>
      <w:tr w:rsidR="006D67FA" w:rsidTr="006D67FA">
        <w:trPr>
          <w:trHeight w:val="255"/>
        </w:trPr>
        <w:tc>
          <w:tcPr>
            <w:tcW w:w="3872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16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2.081,45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:rsidR="006D67FA" w:rsidRDefault="006D67FA" w:rsidP="006D67FA">
      <w:pPr>
        <w:tabs>
          <w:tab w:val="center" w:pos="11340"/>
        </w:tabs>
        <w:spacing w:after="360" w:line="254" w:lineRule="auto"/>
      </w:pPr>
    </w:p>
    <w:tbl>
      <w:tblPr>
        <w:tblW w:w="14856" w:type="dxa"/>
        <w:tblInd w:w="93" w:type="dxa"/>
        <w:tblLook w:val="04A0" w:firstRow="1" w:lastRow="0" w:firstColumn="1" w:lastColumn="0" w:noHBand="0" w:noVBand="1"/>
      </w:tblPr>
      <w:tblGrid>
        <w:gridCol w:w="1500"/>
        <w:gridCol w:w="2343"/>
        <w:gridCol w:w="1701"/>
        <w:gridCol w:w="1217"/>
        <w:gridCol w:w="1217"/>
        <w:gridCol w:w="1495"/>
        <w:gridCol w:w="1495"/>
        <w:gridCol w:w="972"/>
        <w:gridCol w:w="972"/>
        <w:gridCol w:w="972"/>
        <w:gridCol w:w="972"/>
      </w:tblGrid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/>
        </w:tc>
        <w:tc>
          <w:tcPr>
            <w:tcW w:w="2343" w:type="dxa"/>
            <w:noWrap/>
            <w:vAlign w:val="bottom"/>
            <w:hideMark/>
          </w:tcPr>
          <w:p w:rsidR="006D67FA" w:rsidRDefault="006D67FA"/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01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43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127,22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80,85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103.900,00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130,62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117,42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43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73.660,05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101.285,40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137,50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114,13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212,57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86,94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146,57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43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91,50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701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shd w:val="clear" w:color="auto" w:fill="808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343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234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:rsidR="006D67FA" w:rsidRDefault="006D67FA" w:rsidP="006D67FA">
      <w:pPr>
        <w:tabs>
          <w:tab w:val="center" w:pos="11340"/>
        </w:tabs>
        <w:spacing w:after="360" w:line="254" w:lineRule="auto"/>
      </w:pPr>
    </w:p>
    <w:p w:rsidR="006D67FA" w:rsidRDefault="006D67FA" w:rsidP="006D67FA">
      <w:pPr>
        <w:tabs>
          <w:tab w:val="center" w:pos="11340"/>
        </w:tabs>
        <w:spacing w:after="360" w:line="254" w:lineRule="auto"/>
      </w:pPr>
    </w:p>
    <w:p w:rsidR="006D67FA" w:rsidRDefault="006D67FA" w:rsidP="006D67FA">
      <w:pPr>
        <w:tabs>
          <w:tab w:val="center" w:pos="11340"/>
        </w:tabs>
        <w:spacing w:after="0" w:line="254" w:lineRule="auto"/>
      </w:pPr>
    </w:p>
    <w:p w:rsidR="006D67FA" w:rsidRDefault="006D67FA" w:rsidP="006D67FA">
      <w:pPr>
        <w:tabs>
          <w:tab w:val="center" w:pos="11340"/>
        </w:tabs>
        <w:spacing w:after="0" w:line="254" w:lineRule="auto"/>
      </w:pPr>
    </w:p>
    <w:p w:rsidR="006D67FA" w:rsidRDefault="006D67FA" w:rsidP="006D67FA">
      <w:pPr>
        <w:tabs>
          <w:tab w:val="center" w:pos="11340"/>
        </w:tabs>
        <w:spacing w:after="0" w:line="254" w:lineRule="auto"/>
      </w:pPr>
    </w:p>
    <w:p w:rsidR="006D67FA" w:rsidRDefault="006D67FA" w:rsidP="006D67FA">
      <w:pPr>
        <w:tabs>
          <w:tab w:val="center" w:pos="11340"/>
        </w:tabs>
        <w:spacing w:after="0" w:line="25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B. RAČUN PRIHODA I RASHODA – II. RAZINA</w:t>
      </w:r>
    </w:p>
    <w:tbl>
      <w:tblPr>
        <w:tblW w:w="14856" w:type="dxa"/>
        <w:tblInd w:w="93" w:type="dxa"/>
        <w:tblLook w:val="04A0" w:firstRow="1" w:lastRow="0" w:firstColumn="1" w:lastColumn="0" w:noHBand="0" w:noVBand="1"/>
      </w:tblPr>
      <w:tblGrid>
        <w:gridCol w:w="1641"/>
        <w:gridCol w:w="2202"/>
        <w:gridCol w:w="1701"/>
        <w:gridCol w:w="1217"/>
        <w:gridCol w:w="1217"/>
        <w:gridCol w:w="1495"/>
        <w:gridCol w:w="1495"/>
        <w:gridCol w:w="972"/>
        <w:gridCol w:w="972"/>
        <w:gridCol w:w="972"/>
        <w:gridCol w:w="972"/>
      </w:tblGrid>
      <w:tr w:rsidR="006D67FA" w:rsidTr="006D67FA">
        <w:trPr>
          <w:trHeight w:val="255"/>
        </w:trPr>
        <w:tc>
          <w:tcPr>
            <w:tcW w:w="1641" w:type="dxa"/>
            <w:noWrap/>
            <w:vAlign w:val="bottom"/>
            <w:hideMark/>
          </w:tcPr>
          <w:p w:rsidR="006D67FA" w:rsidRDefault="006D67FA"/>
        </w:tc>
        <w:tc>
          <w:tcPr>
            <w:tcW w:w="2202" w:type="dxa"/>
            <w:noWrap/>
            <w:vAlign w:val="bottom"/>
            <w:hideMark/>
          </w:tcPr>
          <w:p w:rsidR="006D67FA" w:rsidRDefault="006D67FA"/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D67FA" w:rsidTr="006D67FA">
        <w:trPr>
          <w:trHeight w:val="255"/>
        </w:trPr>
        <w:tc>
          <w:tcPr>
            <w:tcW w:w="1641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202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D67FA" w:rsidTr="006D67FA">
        <w:trPr>
          <w:trHeight w:val="255"/>
        </w:trPr>
        <w:tc>
          <w:tcPr>
            <w:tcW w:w="164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20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127,22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127,22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Prihodi od financijske imovine (kamate)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80,85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80,85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4.1. Ostali prihodi za posebne namjene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103.900,00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130,62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117,42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130,62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117,42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135,64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73.660,05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101.285,40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114,13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212,57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86,94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178,06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103,78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146,57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124,44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91,50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5.882,65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105,39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4.1. Ostali prihodi za posebne namjene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:rsidR="006D67FA" w:rsidRDefault="006D67FA" w:rsidP="006D67FA">
      <w:pPr>
        <w:spacing w:after="160" w:line="254" w:lineRule="auto"/>
      </w:pPr>
    </w:p>
    <w:p w:rsidR="006D67FA" w:rsidRDefault="006D67FA" w:rsidP="006D67FA">
      <w:pPr>
        <w:spacing w:after="160" w:line="254" w:lineRule="auto"/>
      </w:pPr>
    </w:p>
    <w:p w:rsidR="006D67FA" w:rsidRDefault="006D67FA" w:rsidP="006D67FA">
      <w:pPr>
        <w:spacing w:after="160" w:line="254" w:lineRule="auto"/>
      </w:pPr>
    </w:p>
    <w:p w:rsidR="006D67FA" w:rsidRDefault="006D67FA" w:rsidP="006D67FA">
      <w:pPr>
        <w:spacing w:after="160" w:line="254" w:lineRule="auto"/>
      </w:pPr>
    </w:p>
    <w:tbl>
      <w:tblPr>
        <w:tblW w:w="148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65"/>
        <w:gridCol w:w="1702"/>
        <w:gridCol w:w="1216"/>
        <w:gridCol w:w="1215"/>
        <w:gridCol w:w="1530"/>
        <w:gridCol w:w="1530"/>
        <w:gridCol w:w="945"/>
        <w:gridCol w:w="946"/>
        <w:gridCol w:w="946"/>
        <w:gridCol w:w="945"/>
      </w:tblGrid>
      <w:tr w:rsidR="006D67FA" w:rsidTr="006D67FA">
        <w:trPr>
          <w:trHeight w:val="247"/>
        </w:trPr>
        <w:tc>
          <w:tcPr>
            <w:tcW w:w="1294" w:type="dxa"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</w:t>
            </w:r>
          </w:p>
        </w:tc>
        <w:tc>
          <w:tcPr>
            <w:tcW w:w="121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21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6D67FA" w:rsidTr="006D67FA">
        <w:trPr>
          <w:trHeight w:val="247"/>
        </w:trPr>
        <w:tc>
          <w:tcPr>
            <w:tcW w:w="1294" w:type="dxa"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D67FA" w:rsidTr="006D67FA">
        <w:trPr>
          <w:trHeight w:val="247"/>
        </w:trPr>
        <w:tc>
          <w:tcPr>
            <w:tcW w:w="129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256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01.01.2023. - 31.12.2023.</w:t>
            </w:r>
          </w:p>
        </w:tc>
        <w:tc>
          <w:tcPr>
            <w:tcW w:w="121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1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(2/1)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(3/2)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(4/3)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(5/4)</w:t>
            </w:r>
          </w:p>
        </w:tc>
      </w:tr>
      <w:tr w:rsidR="006D67FA" w:rsidTr="006D67FA">
        <w:trPr>
          <w:trHeight w:val="247"/>
        </w:trPr>
        <w:tc>
          <w:tcPr>
            <w:tcW w:w="3858" w:type="dxa"/>
            <w:gridSpan w:val="2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UKUPNO RASHODI / IZDACI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85.955,12</w:t>
            </w:r>
          </w:p>
        </w:tc>
        <w:tc>
          <w:tcPr>
            <w:tcW w:w="121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1214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135,64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111,16</w:t>
            </w:r>
          </w:p>
        </w:tc>
        <w:tc>
          <w:tcPr>
            <w:tcW w:w="946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5" w:type="dxa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D67FA" w:rsidTr="006D67FA">
        <w:trPr>
          <w:trHeight w:val="247"/>
        </w:trPr>
        <w:tc>
          <w:tcPr>
            <w:tcW w:w="3858" w:type="dxa"/>
            <w:gridSpan w:val="2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701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85.955,12</w:t>
            </w:r>
          </w:p>
        </w:tc>
        <w:tc>
          <w:tcPr>
            <w:tcW w:w="1215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1214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945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135,64</w:t>
            </w:r>
          </w:p>
        </w:tc>
        <w:tc>
          <w:tcPr>
            <w:tcW w:w="946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111,16</w:t>
            </w:r>
          </w:p>
        </w:tc>
        <w:tc>
          <w:tcPr>
            <w:tcW w:w="946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5" w:type="dxa"/>
            <w:shd w:val="solid" w:color="00CC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D67FA" w:rsidTr="006D67FA">
        <w:trPr>
          <w:trHeight w:val="247"/>
        </w:trPr>
        <w:tc>
          <w:tcPr>
            <w:tcW w:w="3858" w:type="dxa"/>
            <w:gridSpan w:val="2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701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85.955,12</w:t>
            </w:r>
          </w:p>
        </w:tc>
        <w:tc>
          <w:tcPr>
            <w:tcW w:w="1215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1214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1529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129.600,00</w:t>
            </w:r>
          </w:p>
        </w:tc>
        <w:tc>
          <w:tcPr>
            <w:tcW w:w="945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135,64</w:t>
            </w:r>
          </w:p>
        </w:tc>
        <w:tc>
          <w:tcPr>
            <w:tcW w:w="946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111,16</w:t>
            </w:r>
          </w:p>
        </w:tc>
        <w:tc>
          <w:tcPr>
            <w:tcW w:w="946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5" w:type="dxa"/>
            <w:shd w:val="solid" w:color="00FFFF" w:fill="auto"/>
            <w:hideMark/>
          </w:tcPr>
          <w:p w:rsidR="006D67FA" w:rsidRDefault="006D6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6D67FA" w:rsidRDefault="006D67FA" w:rsidP="006D67FA">
      <w:pPr>
        <w:tabs>
          <w:tab w:val="center" w:pos="11340"/>
        </w:tabs>
        <w:spacing w:after="360" w:line="254" w:lineRule="auto"/>
      </w:pPr>
    </w:p>
    <w:p w:rsidR="006D67FA" w:rsidRDefault="006D67FA" w:rsidP="006D67FA">
      <w:pPr>
        <w:tabs>
          <w:tab w:val="center" w:pos="11340"/>
        </w:tabs>
        <w:spacing w:after="360" w:line="254" w:lineRule="auto"/>
      </w:pPr>
    </w:p>
    <w:p w:rsidR="006D67FA" w:rsidRDefault="006D67FA" w:rsidP="006D67FA">
      <w:pPr>
        <w:tabs>
          <w:tab w:val="center" w:pos="11340"/>
        </w:tabs>
        <w:spacing w:after="360" w:line="254" w:lineRule="auto"/>
      </w:pPr>
    </w:p>
    <w:p w:rsidR="006D67FA" w:rsidRDefault="006D67FA" w:rsidP="006D67FA">
      <w:pPr>
        <w:tabs>
          <w:tab w:val="center" w:pos="11340"/>
        </w:tabs>
        <w:spacing w:after="360" w:line="254" w:lineRule="auto"/>
      </w:pPr>
      <w:r>
        <w:lastRenderedPageBreak/>
        <w:t>POSEBNI  DIO</w:t>
      </w:r>
    </w:p>
    <w:tbl>
      <w:tblPr>
        <w:tblW w:w="14879" w:type="dxa"/>
        <w:tblInd w:w="93" w:type="dxa"/>
        <w:tblLook w:val="04A0" w:firstRow="1" w:lastRow="0" w:firstColumn="1" w:lastColumn="0" w:noHBand="0" w:noVBand="1"/>
      </w:tblPr>
      <w:tblGrid>
        <w:gridCol w:w="1353"/>
        <w:gridCol w:w="2490"/>
        <w:gridCol w:w="1701"/>
        <w:gridCol w:w="1217"/>
        <w:gridCol w:w="1217"/>
        <w:gridCol w:w="1495"/>
        <w:gridCol w:w="1495"/>
        <w:gridCol w:w="995"/>
        <w:gridCol w:w="972"/>
        <w:gridCol w:w="972"/>
        <w:gridCol w:w="972"/>
      </w:tblGrid>
      <w:tr w:rsidR="006D67FA" w:rsidTr="006D67FA">
        <w:trPr>
          <w:trHeight w:val="255"/>
        </w:trPr>
        <w:tc>
          <w:tcPr>
            <w:tcW w:w="1353" w:type="dxa"/>
            <w:noWrap/>
            <w:vAlign w:val="bottom"/>
            <w:hideMark/>
          </w:tcPr>
          <w:p w:rsidR="006D67FA" w:rsidRDefault="006D67FA"/>
        </w:tc>
        <w:tc>
          <w:tcPr>
            <w:tcW w:w="2490" w:type="dxa"/>
            <w:noWrap/>
            <w:vAlign w:val="bottom"/>
            <w:hideMark/>
          </w:tcPr>
          <w:p w:rsidR="006D67FA" w:rsidRDefault="006D67FA"/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6D67FA" w:rsidTr="006D67FA">
        <w:trPr>
          <w:trHeight w:val="255"/>
        </w:trPr>
        <w:tc>
          <w:tcPr>
            <w:tcW w:w="1353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2490" w:type="dxa"/>
            <w:noWrap/>
            <w:vAlign w:val="bottom"/>
            <w:hideMark/>
          </w:tcPr>
          <w:p w:rsidR="006D67FA" w:rsidRDefault="006D67FA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</w:tr>
      <w:tr w:rsidR="006D67FA" w:rsidTr="006D67FA">
        <w:trPr>
          <w:trHeight w:val="255"/>
        </w:trPr>
        <w:tc>
          <w:tcPr>
            <w:tcW w:w="1353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490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(2/1)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(3/2)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(4/3)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(5/4)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135,64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111,16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GRADSKA KNJIŽNICA- RASHODI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130,91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Promicanje kulture</w:t>
            </w:r>
          </w:p>
        </w:tc>
        <w:tc>
          <w:tcPr>
            <w:tcW w:w="1701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217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217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14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129.600,00</w:t>
            </w:r>
          </w:p>
        </w:tc>
        <w:tc>
          <w:tcPr>
            <w:tcW w:w="9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130,91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115,71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Rashodi za zaposlene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78.800,00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125,08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144,43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127,27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144,43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127,27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144,43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127,27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146,57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Nakladništvo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K100000 Nabava dugotrajne imovine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11.896,82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120,20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97,90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1.4. Opći prihodi i primici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proračunski korisnik (grad)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5.882,65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105,39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5.882,65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105,39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5.882,65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105,39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103,23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4.1. Ostali prihodi za posebne namjene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PRENESENA SREDSTVA PRETHODNIH GODINA</w:t>
            </w:r>
          </w:p>
        </w:tc>
        <w:tc>
          <w:tcPr>
            <w:tcW w:w="1701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17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1.151,39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000080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Promicanje kulture</w:t>
            </w:r>
          </w:p>
        </w:tc>
        <w:tc>
          <w:tcPr>
            <w:tcW w:w="1701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17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1.151,39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9999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K100000 Nabava dugotrajne imovine</w:t>
            </w:r>
          </w:p>
        </w:tc>
        <w:tc>
          <w:tcPr>
            <w:tcW w:w="1701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CCCCFF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701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shd w:val="clear" w:color="auto" w:fill="FFFF99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D67FA" w:rsidTr="006D67FA">
        <w:trPr>
          <w:trHeight w:val="255"/>
        </w:trPr>
        <w:tc>
          <w:tcPr>
            <w:tcW w:w="3843" w:type="dxa"/>
            <w:gridSpan w:val="2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17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noWrap/>
            <w:vAlign w:val="bottom"/>
            <w:hideMark/>
          </w:tcPr>
          <w:p w:rsidR="006D67FA" w:rsidRDefault="006D67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:rsidR="006D67FA" w:rsidRDefault="006D67FA" w:rsidP="006D67FA">
      <w:pPr>
        <w:tabs>
          <w:tab w:val="center" w:pos="11340"/>
        </w:tabs>
        <w:spacing w:after="360" w:line="254" w:lineRule="auto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 Gradske knjižnice Novalja za 2025. godinu i projekcije za 2026. i 2027. godinu stupaju na snagu prvog dana od dana dobivanja suglasnosti osnivača, a objavit će se na oglasnoj ploči Knjižnice.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v.d.ravnatelja:</w:t>
      </w: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 mag.educ.hist.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:rsidR="006D67FA" w:rsidRDefault="00851883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6D67FA">
        <w:rPr>
          <w:rFonts w:ascii="Times New Roman" w:hAnsi="Times New Roman" w:cs="Times New Roman"/>
          <w:sz w:val="24"/>
          <w:szCs w:val="24"/>
        </w:rPr>
        <w:t xml:space="preserve"> Financijsk</w:t>
      </w:r>
      <w:r>
        <w:rPr>
          <w:rFonts w:ascii="Times New Roman" w:hAnsi="Times New Roman" w:cs="Times New Roman"/>
          <w:sz w:val="24"/>
          <w:szCs w:val="24"/>
        </w:rPr>
        <w:t>i plan</w:t>
      </w:r>
      <w:r w:rsidR="006D6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Gradske knjižnice Novalja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2025. godinu i projekcija za 2026. i 2027. godinu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7FA" w:rsidRDefault="00851883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</w:t>
      </w:r>
      <w:r w:rsidR="006D67FA">
        <w:rPr>
          <w:rFonts w:ascii="Times New Roman" w:hAnsi="Times New Roman" w:cs="Times New Roman"/>
          <w:sz w:val="24"/>
          <w:szCs w:val="24"/>
        </w:rPr>
        <w:t xml:space="preserve"> Gradske knjižnice Novalja za 2025. godinu i projekcija za 2026. i 2027. godinu (dalje u tekstu: Financijski plan) sastavljen je sukladno odredbama utvrđenim Zakonom o proračunu („Narodne novine“ br. 144/21), i </w:t>
      </w:r>
      <w:proofErr w:type="spellStart"/>
      <w:r w:rsidR="006D67FA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6D67FA">
        <w:rPr>
          <w:rFonts w:ascii="Times New Roman" w:hAnsi="Times New Roman" w:cs="Times New Roman"/>
          <w:sz w:val="24"/>
          <w:szCs w:val="24"/>
        </w:rPr>
        <w:t xml:space="preserve"> aktima : Pravilnikom o proračunskim klasifikacijama („Narodne novine“ br. 26/10 i 120/13), Pravilnikom o proračunskom računovodstvu i računskom planu („Narodne novine br. 124/14; 115/15; 87/16;,03/18,126/19 i 108/20) te Zakona o fiskalnoj odgovornosti („Narodne novine broj 111/18) i Uredbi o sastavljanju i predaji izjave o fiskalnoj odgovornosti i izvještaja o primjeni fiskalnih pravila (NN 95/19) te na procjeni vlastitih prihoda i rashoda.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Temeljni okvir za izradu Financijskog plana predstavljaju Upute za izradu proračuna Grada Novalje za razdoblje 2025.-2027. godine.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postupku planiranja korištena je jedinstvena metodologija obilježavanja prihoda i primitaka te rashoda i izdataka, a primijenjena je i posebna klasifikacija – izvori financiranja. Izvore financiranja čine skupine prihoda i primitaka iz kojih se podmiruju rashodi i izdaci određene vrste i utvrđene namjene.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će biti usklađen s Proračunom Grada Novalje za 2025. godinu i projekcijama za 2026. i 2027. godinu.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slijedi pojašnjenje pojedinih stavki prijedloga Financijskog plana za 2025. godinu.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83" w:rsidRDefault="00851883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851883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Financijskom planu</w:t>
      </w:r>
      <w:r w:rsidR="006D67FA">
        <w:rPr>
          <w:rFonts w:ascii="Times New Roman" w:hAnsi="Times New Roman" w:cs="Times New Roman"/>
          <w:b/>
          <w:sz w:val="28"/>
          <w:szCs w:val="28"/>
        </w:rPr>
        <w:t xml:space="preserve"> Gradske knjižnice Novalja za 2025. godinu planiraju se :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prihodi iznose 129.600,00 eura što predstavlja povećanje u odnosu na 2024. godinu za 17.600,00 eura.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99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Opći prihodi i primici iz državnog proračuna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iznose 6.100,00 eura i veći su u odnosu na 2024. za 1.100,00 eura, a odnose se na sredstva Ministarstva kulture za financiranje programa javnih potreba u kulturi Republike Hrvatske za 2025. godinu.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>
        <w:rPr>
          <w:rFonts w:ascii="Times New Roman" w:hAnsi="Times New Roman" w:cs="Times New Roman"/>
          <w:sz w:val="24"/>
          <w:szCs w:val="24"/>
        </w:rPr>
        <w:t xml:space="preserve"> iznose 122.000,00 eura, a odnose se na prihode za financiranje rashoda poslovanja (115.600,00 eura) i prihoda za financiranje rashoda za nabavu nefinancijske imovine (6.400,00 eura).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Ostali prihodi za posebne namjene (članarine) </w:t>
      </w:r>
      <w:r>
        <w:rPr>
          <w:rFonts w:ascii="Times New Roman" w:hAnsi="Times New Roman" w:cs="Times New Roman"/>
          <w:sz w:val="24"/>
          <w:szCs w:val="24"/>
        </w:rPr>
        <w:t xml:space="preserve">planirano je smanjenje za 500,00 eura zbog mogućih uvođenja akcija besplatnih učlanjenja za određene skupine građana.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right="-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RASHODI I IZDACI</w:t>
      </w:r>
    </w:p>
    <w:p w:rsidR="006D67FA" w:rsidRDefault="006D67FA" w:rsidP="006D67FA">
      <w:pPr>
        <w:spacing w:after="36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spacing w:after="3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129.600,00 eura što predstavlja povećanje u odnosu na 2024. godinu za  13.014,60 eura.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Rashodi za zaposlene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iznose 96.000,00 eura, a čine ih plaće za redovan rad, ostali rashodi za zaposlene te doprinosi za obvezno zdravstveno osiguranje. Rashodi za zaposlene su povećani u odnosu na prošlu godinu zbog povećanja osnovice krajem 2024.g. te zbog mogućih budućih povećanja.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Plaće za redovan rad</w:t>
      </w:r>
      <w:r>
        <w:rPr>
          <w:rFonts w:ascii="Times New Roman" w:hAnsi="Times New Roman" w:cs="Times New Roman"/>
          <w:sz w:val="24"/>
          <w:szCs w:val="24"/>
        </w:rPr>
        <w:t xml:space="preserve"> iznose 75.600,00 eura i veće su od prošlogodišnjih za 13.500,00 eura zbog povećanih osnovica u rujnu 2024. koje su korištene u izračunu plaća za redovan rad za 2025. g.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Ostali rashodi za zaposlene </w:t>
      </w:r>
      <w:r>
        <w:rPr>
          <w:rFonts w:ascii="Times New Roman" w:hAnsi="Times New Roman" w:cs="Times New Roman"/>
          <w:sz w:val="24"/>
          <w:szCs w:val="24"/>
        </w:rPr>
        <w:t xml:space="preserve">(božićnica, dar za djecu, topli obrok, otpremnina) iznose 7.400,00 eura i veći su od prošlogodišnjih za 900,00 eura zbog mogućih povećanja.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Doprinosi za obvezno zdravstveno osiguranje </w:t>
      </w:r>
      <w:r>
        <w:rPr>
          <w:rFonts w:ascii="Times New Roman" w:hAnsi="Times New Roman" w:cs="Times New Roman"/>
          <w:sz w:val="24"/>
          <w:szCs w:val="24"/>
        </w:rPr>
        <w:t>iznose 13.00,00 eura.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Materijalni i financijski rashodi</w:t>
      </w:r>
      <w:r>
        <w:rPr>
          <w:rFonts w:ascii="Times New Roman" w:hAnsi="Times New Roman" w:cs="Times New Roman"/>
          <w:sz w:val="24"/>
          <w:szCs w:val="24"/>
        </w:rPr>
        <w:t xml:space="preserve"> iznose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19.600,00 eura i veći su od prošlogodišnjih zbog općenitog povećanja cijena na tržištu pa je u skladu s time planirano i više sredstava.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Rashodi za usluge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usluge</w:t>
      </w:r>
      <w:r>
        <w:rPr>
          <w:rFonts w:ascii="Times New Roman" w:hAnsi="Times New Roman" w:cs="Times New Roman"/>
          <w:sz w:val="24"/>
          <w:szCs w:val="24"/>
        </w:rPr>
        <w:t xml:space="preserve"> iznose 7.400,00 eura i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Usluge tekućeg i investicijskog održavanja </w:t>
      </w:r>
      <w:r>
        <w:rPr>
          <w:rFonts w:ascii="Times New Roman" w:hAnsi="Times New Roman" w:cs="Times New Roman"/>
          <w:sz w:val="24"/>
          <w:szCs w:val="24"/>
        </w:rPr>
        <w:t>iznose 800,00 eura i veće su za 100,00 eura od prošlogodišnjih zbog mogućih nenadanih kvarova na računalima.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Usluge promidžbe i informiranja </w:t>
      </w:r>
      <w:r>
        <w:rPr>
          <w:rFonts w:ascii="Times New Roman" w:hAnsi="Times New Roman" w:cs="Times New Roman"/>
          <w:sz w:val="24"/>
          <w:szCs w:val="24"/>
        </w:rPr>
        <w:t>iznose 500,00 i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Zdravstvene i veterinarske usluge </w:t>
      </w:r>
      <w:r>
        <w:rPr>
          <w:rFonts w:ascii="Times New Roman" w:hAnsi="Times New Roman" w:cs="Times New Roman"/>
          <w:sz w:val="24"/>
          <w:szCs w:val="24"/>
        </w:rPr>
        <w:t>iznose 1000,00 eura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za intelektualne i osobne usluge </w:t>
      </w:r>
      <w:r>
        <w:rPr>
          <w:rFonts w:ascii="Times New Roman" w:hAnsi="Times New Roman" w:cs="Times New Roman"/>
          <w:sz w:val="24"/>
          <w:szCs w:val="24"/>
        </w:rPr>
        <w:t>iznose 2.000,00 eura i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za računalne usluge </w:t>
      </w:r>
      <w:r>
        <w:rPr>
          <w:rFonts w:ascii="Times New Roman" w:hAnsi="Times New Roman" w:cs="Times New Roman"/>
          <w:sz w:val="24"/>
          <w:szCs w:val="24"/>
        </w:rPr>
        <w:t xml:space="preserve"> iznose 2.000,00 eura i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ostalim nespomenutim rashodima poslovanja, </w:t>
      </w:r>
      <w:r>
        <w:rPr>
          <w:rFonts w:ascii="Times New Roman" w:hAnsi="Times New Roman" w:cs="Times New Roman"/>
          <w:sz w:val="24"/>
          <w:szCs w:val="24"/>
        </w:rPr>
        <w:t xml:space="preserve">iznos za </w:t>
      </w:r>
      <w:r>
        <w:rPr>
          <w:rFonts w:ascii="Times New Roman" w:hAnsi="Times New Roman" w:cs="Times New Roman"/>
          <w:b/>
          <w:sz w:val="24"/>
          <w:szCs w:val="24"/>
        </w:rPr>
        <w:t xml:space="preserve">Reprezentaciju </w:t>
      </w:r>
      <w:r>
        <w:rPr>
          <w:rFonts w:ascii="Times New Roman" w:hAnsi="Times New Roman" w:cs="Times New Roman"/>
          <w:sz w:val="24"/>
          <w:szCs w:val="24"/>
        </w:rPr>
        <w:t>je uvećan za 400,00 eura, zbog organiziranih radionica i čitaonica s djecom te sada iznosi 800,00 eura.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B4B" w:rsidRDefault="00AD3B4B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B4B" w:rsidRDefault="00AD3B4B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B4B" w:rsidRDefault="00AD3B4B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Nabava dugotrajne imovine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za nabavu dugotrajne imovine </w:t>
      </w:r>
      <w:r>
        <w:rPr>
          <w:rFonts w:ascii="Times New Roman" w:hAnsi="Times New Roman" w:cs="Times New Roman"/>
          <w:sz w:val="24"/>
          <w:szCs w:val="24"/>
        </w:rPr>
        <w:t>iznose 14.000,00 eura i na razini su prošlogodišnji, a  financiraju se iz općih prihoda i primitaka proračunskih korisnika, odnosno sredstvima države i grada, sredstvima iz vlastitih izvora i donacijama.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za nabavu knjiga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koji se financiraju iz državnog proračuna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planirani su u iznosu od 6.100,00 eura u istom iznosu kao i prošle godine.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nabavu uredske opreme i namještaja</w:t>
      </w:r>
      <w:r>
        <w:rPr>
          <w:rFonts w:ascii="Times New Roman" w:hAnsi="Times New Roman" w:cs="Times New Roman"/>
          <w:sz w:val="24"/>
          <w:szCs w:val="24"/>
        </w:rPr>
        <w:t xml:space="preserve"> su na razini prošlogodišnjih i iznose  2.000,00 eura, a planira se nabava namještaja za arhivsku građu.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 za nabavu knjiga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koji se financiraju iz gradskog proračuna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 4.000,00 eura.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umjetnička, literarna i znanstvena djela</w:t>
      </w:r>
      <w:r>
        <w:rPr>
          <w:rFonts w:ascii="Times New Roman" w:hAnsi="Times New Roman" w:cs="Times New Roman"/>
          <w:sz w:val="24"/>
          <w:szCs w:val="24"/>
        </w:rPr>
        <w:t xml:space="preserve"> iznose 400,00 eura i na razini su prošlogodišnjih.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v.d. ravnatelja:</w:t>
      </w: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7FA" w:rsidRDefault="006D67FA" w:rsidP="006D67FA">
      <w:pPr>
        <w:tabs>
          <w:tab w:val="center" w:pos="11340"/>
        </w:tabs>
        <w:spacing w:after="360" w:line="254" w:lineRule="auto"/>
        <w:ind w:left="-142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</w:p>
    <w:p w:rsidR="006D67FA" w:rsidRDefault="006D67FA" w:rsidP="006D67FA">
      <w:pPr>
        <w:rPr>
          <w:color w:val="FF0000"/>
        </w:rPr>
      </w:pPr>
    </w:p>
    <w:p w:rsidR="006D67FA" w:rsidRDefault="006D67FA"/>
    <w:sectPr w:rsidR="006D67FA" w:rsidSect="006D67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FA"/>
    <w:rsid w:val="0059726A"/>
    <w:rsid w:val="006D5FFC"/>
    <w:rsid w:val="006D67FA"/>
    <w:rsid w:val="00851883"/>
    <w:rsid w:val="00AD3B4B"/>
    <w:rsid w:val="00D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7FA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67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7FA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67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2024-12-17T10:29:00Z</dcterms:created>
  <dcterms:modified xsi:type="dcterms:W3CDTF">2024-12-31T10:29:00Z</dcterms:modified>
</cp:coreProperties>
</file>