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C0" w:rsidRDefault="009D65C0" w:rsidP="009D65C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REPUBLIKA HRVATSKA</w:t>
      </w:r>
    </w:p>
    <w:p w:rsidR="009D65C0" w:rsidRDefault="009D65C0" w:rsidP="009D65C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LIČKO-SENJSKA ŽUPANIJA</w:t>
      </w:r>
    </w:p>
    <w:p w:rsidR="009D65C0" w:rsidRDefault="009D65C0" w:rsidP="009D65C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Grad Novalja</w:t>
      </w:r>
    </w:p>
    <w:p w:rsidR="009D65C0" w:rsidRDefault="009D65C0" w:rsidP="009D65C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Gradska knjižnica Novalja</w:t>
      </w:r>
    </w:p>
    <w:p w:rsidR="009D65C0" w:rsidRPr="00743CF5" w:rsidRDefault="00743CF5" w:rsidP="009D65C0">
      <w:pPr>
        <w:jc w:val="both"/>
      </w:pPr>
      <w:r w:rsidRPr="00743CF5">
        <w:t>KLASA: 400-02/24-01/04</w:t>
      </w:r>
    </w:p>
    <w:p w:rsidR="009D65C0" w:rsidRPr="00743CF5" w:rsidRDefault="00743CF5" w:rsidP="009D65C0">
      <w:pPr>
        <w:jc w:val="both"/>
      </w:pPr>
      <w:r w:rsidRPr="00743CF5">
        <w:t>URBROJ: 2125-86-24-1</w:t>
      </w:r>
    </w:p>
    <w:p w:rsidR="009D65C0" w:rsidRDefault="008006B9" w:rsidP="009D65C0">
      <w:pPr>
        <w:rPr>
          <w:b/>
        </w:rPr>
      </w:pPr>
      <w:r>
        <w:t>Novalja, 08. srpnja 2024</w:t>
      </w:r>
      <w:r w:rsidR="009D65C0">
        <w:t>.</w:t>
      </w:r>
    </w:p>
    <w:p w:rsidR="009D65C0" w:rsidRDefault="009D65C0" w:rsidP="009D65C0">
      <w:pPr>
        <w:rPr>
          <w:b/>
        </w:rPr>
      </w:pPr>
    </w:p>
    <w:p w:rsidR="009D65C0" w:rsidRDefault="009D65C0" w:rsidP="009D65C0">
      <w:pPr>
        <w:rPr>
          <w:b/>
        </w:rPr>
      </w:pPr>
      <w:r>
        <w:rPr>
          <w:b/>
        </w:rPr>
        <w:t>RAZINA: 21</w:t>
      </w:r>
    </w:p>
    <w:p w:rsidR="009D65C0" w:rsidRDefault="009D65C0" w:rsidP="009D65C0">
      <w:pPr>
        <w:rPr>
          <w:b/>
        </w:rPr>
      </w:pPr>
      <w:r>
        <w:rPr>
          <w:b/>
        </w:rPr>
        <w:t>BROJ RKP-a: 28516</w:t>
      </w:r>
    </w:p>
    <w:p w:rsidR="009D65C0" w:rsidRDefault="009D65C0" w:rsidP="009D65C0">
      <w:pPr>
        <w:rPr>
          <w:b/>
        </w:rPr>
      </w:pPr>
      <w:r>
        <w:rPr>
          <w:b/>
        </w:rPr>
        <w:t xml:space="preserve">MATIČNI BROJ: 01704974         </w:t>
      </w:r>
    </w:p>
    <w:p w:rsidR="009D65C0" w:rsidRDefault="009D65C0" w:rsidP="009D65C0">
      <w:pPr>
        <w:rPr>
          <w:b/>
        </w:rPr>
      </w:pPr>
      <w:r>
        <w:rPr>
          <w:b/>
        </w:rPr>
        <w:t>OIB: 87948657896</w:t>
      </w:r>
    </w:p>
    <w:p w:rsidR="009D65C0" w:rsidRDefault="009D65C0" w:rsidP="009D65C0">
      <w:pPr>
        <w:rPr>
          <w:b/>
        </w:rPr>
      </w:pPr>
      <w:r>
        <w:rPr>
          <w:b/>
        </w:rPr>
        <w:t>ŠIFRA DJELATNOSTI: 9101</w:t>
      </w:r>
    </w:p>
    <w:p w:rsidR="009D65C0" w:rsidRDefault="009D65C0" w:rsidP="009D65C0">
      <w:pPr>
        <w:rPr>
          <w:b/>
        </w:rPr>
      </w:pPr>
      <w:r>
        <w:rPr>
          <w:b/>
        </w:rPr>
        <w:t>TRANSAKCIJSKI RAČUN: HR6023400091110107404</w:t>
      </w:r>
    </w:p>
    <w:p w:rsidR="009D65C0" w:rsidRDefault="009D65C0" w:rsidP="009D65C0">
      <w:pPr>
        <w:spacing w:after="120"/>
        <w:rPr>
          <w:b/>
          <w:color w:val="FF0000"/>
        </w:rPr>
      </w:pPr>
    </w:p>
    <w:p w:rsidR="009D65C0" w:rsidRDefault="009D65C0" w:rsidP="009D65C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 uz financijske izvještaje za razdoblje</w:t>
      </w:r>
    </w:p>
    <w:p w:rsidR="009D65C0" w:rsidRDefault="008006B9" w:rsidP="009D65C0">
      <w:pPr>
        <w:numPr>
          <w:ilvl w:val="0"/>
          <w:numId w:val="1"/>
        </w:num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siječnja 2024. – 30. lipnja 2024</w:t>
      </w:r>
      <w:r w:rsidR="009D65C0">
        <w:rPr>
          <w:b/>
          <w:sz w:val="28"/>
          <w:szCs w:val="28"/>
        </w:rPr>
        <w:t>.</w:t>
      </w:r>
    </w:p>
    <w:p w:rsidR="009D65C0" w:rsidRDefault="009D65C0" w:rsidP="009D65C0">
      <w:pPr>
        <w:spacing w:after="120"/>
        <w:ind w:left="720"/>
        <w:rPr>
          <w:b/>
          <w:sz w:val="28"/>
          <w:szCs w:val="28"/>
        </w:rPr>
      </w:pPr>
    </w:p>
    <w:p w:rsidR="009D65C0" w:rsidRPr="008006B9" w:rsidRDefault="009D65C0" w:rsidP="009D65C0">
      <w:pPr>
        <w:numPr>
          <w:ilvl w:val="0"/>
          <w:numId w:val="2"/>
        </w:numPr>
        <w:spacing w:after="120"/>
        <w:jc w:val="both"/>
        <w:rPr>
          <w:b/>
          <w:sz w:val="28"/>
          <w:szCs w:val="28"/>
        </w:rPr>
      </w:pPr>
      <w:r w:rsidRPr="008006B9">
        <w:rPr>
          <w:b/>
          <w:sz w:val="28"/>
          <w:szCs w:val="28"/>
        </w:rPr>
        <w:t>Opći podaci o ustanovi</w:t>
      </w:r>
    </w:p>
    <w:p w:rsidR="009D65C0" w:rsidRPr="008006B9" w:rsidRDefault="009D65C0" w:rsidP="009D65C0">
      <w:pPr>
        <w:jc w:val="both"/>
      </w:pPr>
      <w:r w:rsidRPr="008006B9">
        <w:t xml:space="preserve">Gradska knjižnica Novalja (dalje u tekstu: Knjižnica) sa sjedištem u Novalji, </w:t>
      </w:r>
      <w:r w:rsidR="008006B9" w:rsidRPr="008006B9">
        <w:t xml:space="preserve">Dalmatinska 11, </w:t>
      </w:r>
      <w:r w:rsidRPr="008006B9">
        <w:t>registriran je kod Trgovačkog suda u Rijeci.</w:t>
      </w:r>
    </w:p>
    <w:p w:rsidR="009D65C0" w:rsidRPr="008006B9" w:rsidRDefault="009D65C0" w:rsidP="009D65C0">
      <w:pPr>
        <w:spacing w:line="254" w:lineRule="auto"/>
        <w:jc w:val="both"/>
      </w:pPr>
      <w:r w:rsidRPr="008006B9">
        <w:t>Knjižnica obavlja knjižničnu djelatnost koja obuhvaća: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nabavu knjižnične građe i izgradnju knjižničnih zbirki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stručnu obradu knjižnične građe prema stručnim standardima, što uključuje izradu informacijskih pomagala u tiskanom i/ili elektroničkom obliku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pohranu, čuvanje i zaštitu knjižnične građe te provođenje mjera zaštite knjižnične građe koja je kulturno dobro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pružanje informacijskih usluga, posudbu i davanje na korištenje knjižnične građe, uključujući među knjižničnu posudbu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digitalizaciju knjižnične građe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usmjeravanje i podučavanje korisnika pri izboru i korištenju knjižnične građe, informacijskih pomagala i drugih izvora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vođenje dokumentacije i prikupljanje statističkih podataka o poslovanju, knjižničnoj građi, korisnicima i o korištenju usluga knjižnice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prikupljanje statističkih podataka vezanih uz provedbu propisa kojima se uređuju autorska i srodna prava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pripremanje kulturnih, informacijskih, obrazovnih i znanstvenih sadržaja i programa te</w:t>
      </w:r>
    </w:p>
    <w:p w:rsidR="009D65C0" w:rsidRPr="008006B9" w:rsidRDefault="009D65C0" w:rsidP="009D65C0">
      <w:pPr>
        <w:numPr>
          <w:ilvl w:val="0"/>
          <w:numId w:val="3"/>
        </w:numPr>
        <w:spacing w:line="254" w:lineRule="auto"/>
        <w:jc w:val="both"/>
      </w:pPr>
      <w:r w:rsidRPr="008006B9">
        <w:t>obavljanje i drugih poslova sukladno ovom Zakonu i drugim propisima.</w:t>
      </w:r>
    </w:p>
    <w:p w:rsidR="009D65C0" w:rsidRPr="008006B9" w:rsidRDefault="009D65C0" w:rsidP="009D65C0">
      <w:pPr>
        <w:spacing w:line="254" w:lineRule="auto"/>
        <w:ind w:left="720"/>
        <w:contextualSpacing/>
        <w:jc w:val="both"/>
      </w:pPr>
    </w:p>
    <w:p w:rsidR="009D65C0" w:rsidRPr="008006B9" w:rsidRDefault="008006B9" w:rsidP="009D65C0">
      <w:pPr>
        <w:jc w:val="both"/>
      </w:pPr>
      <w:r>
        <w:t>U Knjižnici je u 2024</w:t>
      </w:r>
      <w:r w:rsidR="009D65C0" w:rsidRPr="008006B9">
        <w:t xml:space="preserve">. zaposleno 3 radnika, od čega 2 s visokom stručnom spremom i 1 radnik sa srednjom stručnom spremom. </w:t>
      </w:r>
    </w:p>
    <w:p w:rsidR="009D65C0" w:rsidRPr="008006B9" w:rsidRDefault="009D65C0" w:rsidP="009D65C0">
      <w:pPr>
        <w:spacing w:after="120"/>
        <w:jc w:val="center"/>
        <w:rPr>
          <w:b/>
          <w:sz w:val="28"/>
          <w:szCs w:val="28"/>
        </w:rPr>
      </w:pPr>
    </w:p>
    <w:p w:rsidR="009D65C0" w:rsidRDefault="009D65C0" w:rsidP="001E38F4">
      <w:pPr>
        <w:spacing w:after="120"/>
        <w:rPr>
          <w:b/>
          <w:sz w:val="28"/>
          <w:szCs w:val="28"/>
        </w:rPr>
      </w:pPr>
    </w:p>
    <w:p w:rsidR="001E38F4" w:rsidRPr="008006B9" w:rsidRDefault="001E38F4" w:rsidP="001E38F4">
      <w:pPr>
        <w:spacing w:after="120"/>
        <w:rPr>
          <w:b/>
          <w:sz w:val="28"/>
          <w:szCs w:val="28"/>
        </w:rPr>
      </w:pPr>
    </w:p>
    <w:p w:rsidR="009D65C0" w:rsidRPr="008006B9" w:rsidRDefault="009D65C0" w:rsidP="009D65C0">
      <w:pPr>
        <w:numPr>
          <w:ilvl w:val="0"/>
          <w:numId w:val="2"/>
        </w:numPr>
        <w:spacing w:after="120"/>
        <w:jc w:val="both"/>
        <w:rPr>
          <w:b/>
          <w:sz w:val="28"/>
          <w:szCs w:val="28"/>
        </w:rPr>
      </w:pPr>
      <w:r w:rsidRPr="008006B9">
        <w:rPr>
          <w:b/>
          <w:sz w:val="28"/>
          <w:szCs w:val="28"/>
        </w:rPr>
        <w:lastRenderedPageBreak/>
        <w:t>Bilješke uz PR-RAS</w:t>
      </w:r>
    </w:p>
    <w:p w:rsidR="009D65C0" w:rsidRPr="008006B9" w:rsidRDefault="009D65C0" w:rsidP="009D65C0">
      <w:pPr>
        <w:spacing w:after="120"/>
        <w:ind w:left="502"/>
        <w:jc w:val="both"/>
        <w:rPr>
          <w:b/>
          <w:sz w:val="28"/>
          <w:szCs w:val="28"/>
        </w:rPr>
      </w:pPr>
    </w:p>
    <w:p w:rsidR="009D65C0" w:rsidRPr="008006B9" w:rsidRDefault="009D65C0" w:rsidP="009D65C0">
      <w:pPr>
        <w:jc w:val="both"/>
        <w:rPr>
          <w:b/>
        </w:rPr>
      </w:pPr>
      <w:r w:rsidRPr="008006B9">
        <w:rPr>
          <w:b/>
        </w:rPr>
        <w:t>Ukupni prihodi</w:t>
      </w:r>
      <w:r w:rsidR="008006B9">
        <w:rPr>
          <w:b/>
        </w:rPr>
        <w:t xml:space="preserve"> poslovanja (X678) do 30.06.2024</w:t>
      </w:r>
      <w:r w:rsidRPr="008006B9">
        <w:rPr>
          <w:b/>
        </w:rPr>
        <w:t>.g.</w:t>
      </w:r>
    </w:p>
    <w:p w:rsidR="009D65C0" w:rsidRPr="00211C1C" w:rsidRDefault="009D65C0" w:rsidP="009D65C0">
      <w:pPr>
        <w:jc w:val="both"/>
        <w:rPr>
          <w:b/>
          <w:sz w:val="28"/>
          <w:szCs w:val="28"/>
        </w:rPr>
      </w:pPr>
      <w:r w:rsidRPr="009D65C0">
        <w:rPr>
          <w:color w:val="FF0000"/>
        </w:rPr>
        <w:t xml:space="preserve"> </w:t>
      </w:r>
      <w:r w:rsidRPr="00211C1C">
        <w:t>Knjižnica je ostvari</w:t>
      </w:r>
      <w:r w:rsidR="004129AE">
        <w:t>la ukupne prihode u iznosu od 48.832,49</w:t>
      </w:r>
      <w:r w:rsidRPr="00211C1C">
        <w:t xml:space="preserve"> eura</w:t>
      </w:r>
      <w:r w:rsidR="00211C1C" w:rsidRPr="00211C1C">
        <w:t xml:space="preserve"> i  veći su od ostvarenih u 2023</w:t>
      </w:r>
      <w:r w:rsidRPr="00211C1C">
        <w:t xml:space="preserve">.g. u istom razdoblju. </w:t>
      </w:r>
    </w:p>
    <w:p w:rsidR="009D65C0" w:rsidRPr="00211C1C" w:rsidRDefault="009D65C0" w:rsidP="009D65C0">
      <w:pPr>
        <w:jc w:val="both"/>
      </w:pPr>
      <w:r w:rsidRPr="00211C1C">
        <w:t>Ostvareni prihodi sastoje se od:</w:t>
      </w:r>
    </w:p>
    <w:p w:rsidR="009D65C0" w:rsidRPr="00211C1C" w:rsidRDefault="009D65C0" w:rsidP="009D65C0">
      <w:pPr>
        <w:jc w:val="both"/>
      </w:pPr>
      <w:r w:rsidRPr="00211C1C">
        <w:rPr>
          <w:b/>
        </w:rPr>
        <w:t xml:space="preserve"> Pomoći iz proračuna koji nije nadležan (636)</w:t>
      </w:r>
      <w:r w:rsidRPr="00211C1C">
        <w:t xml:space="preserve"> (državni p</w:t>
      </w:r>
      <w:r w:rsidR="00211C1C">
        <w:t>roračun) iznosi 5.330,00</w:t>
      </w:r>
      <w:r w:rsidRPr="00211C1C">
        <w:t xml:space="preserve"> eura, povećanje je u odnosu na proteklu godinu jer </w:t>
      </w:r>
      <w:r w:rsidR="0094453C">
        <w:t>je knjižnici odobreno</w:t>
      </w:r>
      <w:r w:rsidR="00211C1C">
        <w:t xml:space="preserve"> od ministarstva više sredstava kroz dva programa (Otkup</w:t>
      </w:r>
      <w:r w:rsidR="0094453C">
        <w:t xml:space="preserve"> knjiga uvrštenih u popis A i popis B u 2024.g. i Nabava knjižne i ne knjižne građe u 2024.g.)</w:t>
      </w:r>
      <w:r w:rsidRPr="00211C1C">
        <w:t xml:space="preserve">. </w:t>
      </w:r>
    </w:p>
    <w:p w:rsidR="0094453C" w:rsidRDefault="009D65C0" w:rsidP="009D65C0">
      <w:pPr>
        <w:jc w:val="both"/>
      </w:pPr>
      <w:r w:rsidRPr="009D65C0">
        <w:rPr>
          <w:b/>
          <w:color w:val="FF0000"/>
        </w:rPr>
        <w:t xml:space="preserve"> </w:t>
      </w:r>
      <w:r w:rsidRPr="0094453C">
        <w:rPr>
          <w:b/>
        </w:rPr>
        <w:t xml:space="preserve">Ostali nespomenuti prihodi (652) </w:t>
      </w:r>
      <w:r w:rsidR="004129AE">
        <w:t>(članarina) iznose 649,60</w:t>
      </w:r>
      <w:r w:rsidR="0094453C">
        <w:t xml:space="preserve"> eura i manji</w:t>
      </w:r>
      <w:r w:rsidRPr="0094453C">
        <w:t xml:space="preserve"> </w:t>
      </w:r>
      <w:r w:rsidR="0094453C">
        <w:t>su od ostvarenih u 2023.g. zbog akcija besplatnih učlanjenja korisnika.</w:t>
      </w:r>
    </w:p>
    <w:p w:rsidR="009D65C0" w:rsidRPr="0094453C" w:rsidRDefault="009D65C0" w:rsidP="009D65C0">
      <w:pPr>
        <w:jc w:val="both"/>
      </w:pPr>
      <w:r w:rsidRPr="0094453C">
        <w:rPr>
          <w:b/>
        </w:rPr>
        <w:t xml:space="preserve">Prihodi iz nadležnog proračuna za financiranje redovne djelatnosti (671) </w:t>
      </w:r>
      <w:r w:rsidR="0094453C">
        <w:t>(gradski proračun) iznose 42.848,07</w:t>
      </w:r>
      <w:r w:rsidRPr="0094453C">
        <w:t xml:space="preserve"> eura, razlog povećanja u odnosu na prošlu godinu je povećanje prihoda za financiranje rashoda poslov</w:t>
      </w:r>
      <w:r w:rsidR="004129AE">
        <w:t>anja, povećanje osnovice plaće, više knjižničnih događanja koji rezultiraju većim troškovima</w:t>
      </w:r>
      <w:r w:rsidRPr="0094453C">
        <w:t>, veći troškovi vezani uz naplatu usluga koje su neophodne za funkcioniranje knjižnično -  informatičkog programa i uredskog poslovanja.</w:t>
      </w:r>
    </w:p>
    <w:p w:rsidR="009D65C0" w:rsidRPr="009D65C0" w:rsidRDefault="009D65C0" w:rsidP="009D65C0">
      <w:pPr>
        <w:spacing w:after="120"/>
        <w:ind w:left="567" w:hanging="567"/>
        <w:jc w:val="both"/>
        <w:rPr>
          <w:b/>
          <w:color w:val="FF0000"/>
        </w:rPr>
      </w:pPr>
      <w:r w:rsidRPr="009D65C0">
        <w:rPr>
          <w:b/>
          <w:color w:val="FF0000"/>
        </w:rPr>
        <w:t xml:space="preserve"> </w:t>
      </w:r>
    </w:p>
    <w:p w:rsidR="009D65C0" w:rsidRPr="009D65C0" w:rsidRDefault="009D65C0" w:rsidP="009D65C0">
      <w:pPr>
        <w:spacing w:after="120"/>
        <w:ind w:left="567" w:hanging="567"/>
        <w:jc w:val="both"/>
        <w:rPr>
          <w:color w:val="FF0000"/>
        </w:rPr>
      </w:pPr>
    </w:p>
    <w:p w:rsidR="009D65C0" w:rsidRPr="0094453C" w:rsidRDefault="009D65C0" w:rsidP="009D65C0">
      <w:pPr>
        <w:jc w:val="both"/>
      </w:pPr>
      <w:r w:rsidRPr="0094453C">
        <w:rPr>
          <w:b/>
        </w:rPr>
        <w:t xml:space="preserve"> Ukupni rashodi poslovanja (Y345)</w:t>
      </w:r>
      <w:r w:rsidRPr="0094453C">
        <w:t xml:space="preserve"> </w:t>
      </w:r>
      <w:r w:rsidR="0094453C">
        <w:rPr>
          <w:b/>
        </w:rPr>
        <w:t>do 30.06.2024</w:t>
      </w:r>
      <w:r w:rsidRPr="0094453C">
        <w:rPr>
          <w:b/>
        </w:rPr>
        <w:t>.g.</w:t>
      </w:r>
      <w:r w:rsidRPr="0094453C">
        <w:t xml:space="preserve">, iznose </w:t>
      </w:r>
      <w:r w:rsidR="0094453C">
        <w:t>46.371</w:t>
      </w:r>
      <w:r w:rsidR="00C72881">
        <w:t>,84 eura što je odnosu na 2023</w:t>
      </w:r>
      <w:r w:rsidRPr="0094453C">
        <w:t>.g. povećanje rashoda poslovanja i to  je u dijelu rashoda za zaposlene, financijskih rashoda i materijalnih rashoda.</w:t>
      </w:r>
    </w:p>
    <w:p w:rsidR="009D65C0" w:rsidRPr="0094453C" w:rsidRDefault="009D65C0" w:rsidP="009D65C0">
      <w:pPr>
        <w:jc w:val="both"/>
      </w:pPr>
      <w:r w:rsidRPr="0094453C">
        <w:t xml:space="preserve"> Ukupni rashodi se sastoje od:</w:t>
      </w:r>
    </w:p>
    <w:p w:rsidR="009D65C0" w:rsidRPr="00C72881" w:rsidRDefault="009D65C0" w:rsidP="009D65C0">
      <w:pPr>
        <w:jc w:val="both"/>
      </w:pPr>
      <w:r w:rsidRPr="009D65C0">
        <w:rPr>
          <w:b/>
          <w:color w:val="FF0000"/>
        </w:rPr>
        <w:t xml:space="preserve"> </w:t>
      </w:r>
      <w:r w:rsidRPr="00C72881">
        <w:rPr>
          <w:b/>
        </w:rPr>
        <w:t>Rashoda za zaposlene (31)</w:t>
      </w:r>
      <w:r w:rsidR="00C72881">
        <w:t xml:space="preserve"> koji iznose 34.662,44 eura i veći su u odnosu na 2023</w:t>
      </w:r>
      <w:r w:rsidRPr="00C72881">
        <w:t>.g. zbog porasta troškova za zaposlene</w:t>
      </w:r>
      <w:r w:rsidR="003D14D8">
        <w:t xml:space="preserve"> (povećanje osnovice i ostali rashodi za zaposlene)</w:t>
      </w:r>
      <w:r w:rsidRPr="00C72881">
        <w:t xml:space="preserve">.    </w:t>
      </w:r>
    </w:p>
    <w:p w:rsidR="009D65C0" w:rsidRPr="003D14D8" w:rsidRDefault="009D65C0" w:rsidP="009D65C0">
      <w:pPr>
        <w:jc w:val="both"/>
        <w:rPr>
          <w:b/>
        </w:rPr>
      </w:pPr>
      <w:r w:rsidRPr="009D65C0">
        <w:rPr>
          <w:b/>
          <w:color w:val="FF0000"/>
        </w:rPr>
        <w:t xml:space="preserve"> </w:t>
      </w:r>
      <w:r w:rsidRPr="001E38F4">
        <w:rPr>
          <w:b/>
        </w:rPr>
        <w:t xml:space="preserve">Materijalnih rashoda (32) </w:t>
      </w:r>
      <w:r w:rsidRPr="001E38F4">
        <w:t>koji iz</w:t>
      </w:r>
      <w:r w:rsidR="00C72881" w:rsidRPr="001E38F4">
        <w:t xml:space="preserve">nose 6.135,76 eura i veći su u odnosu na 2023. godinu </w:t>
      </w:r>
      <w:r w:rsidR="00C72881" w:rsidRPr="003D14D8">
        <w:t>zbog</w:t>
      </w:r>
      <w:r w:rsidRPr="003D14D8">
        <w:t xml:space="preserve"> nabave u</w:t>
      </w:r>
      <w:r w:rsidR="004129AE" w:rsidRPr="003D14D8">
        <w:t>redskog materijala,</w:t>
      </w:r>
      <w:r w:rsidR="00917807" w:rsidRPr="003D14D8">
        <w:t xml:space="preserve"> </w:t>
      </w:r>
      <w:r w:rsidR="004129AE" w:rsidRPr="003D14D8">
        <w:t>zbog povećanih računa za usluge neophodne za rad knjižnice i knjižničnog sustava</w:t>
      </w:r>
      <w:r w:rsidRPr="003D14D8">
        <w:rPr>
          <w:b/>
        </w:rPr>
        <w:t>.</w:t>
      </w:r>
    </w:p>
    <w:p w:rsidR="009D65C0" w:rsidRPr="001E38F4" w:rsidRDefault="009D65C0" w:rsidP="009D65C0">
      <w:pPr>
        <w:jc w:val="both"/>
      </w:pPr>
      <w:r w:rsidRPr="001E38F4">
        <w:rPr>
          <w:b/>
        </w:rPr>
        <w:t>Rashodi za nabavu proizvedene dugotrajne imovine (42)</w:t>
      </w:r>
      <w:r w:rsidR="001E38F4">
        <w:t xml:space="preserve"> iznose  5.420,34</w:t>
      </w:r>
      <w:r w:rsidRPr="001E38F4">
        <w:t xml:space="preserve"> </w:t>
      </w:r>
      <w:r w:rsidR="001E38F4">
        <w:t>eura i veći su  u odnosu na 2023</w:t>
      </w:r>
      <w:r w:rsidRPr="001E38F4">
        <w:t>.g.</w:t>
      </w:r>
      <w:r w:rsidRPr="009D65C0">
        <w:rPr>
          <w:color w:val="FF0000"/>
        </w:rPr>
        <w:t xml:space="preserve"> </w:t>
      </w:r>
      <w:r w:rsidRPr="001E38F4">
        <w:t>zbog dobivenog većeg iznosa sredstava na natječaju od Ministarstva kulture i medija te je zbog toga i potrošeno više sredstava.</w:t>
      </w:r>
    </w:p>
    <w:p w:rsidR="009D65C0" w:rsidRPr="009D65C0" w:rsidRDefault="009D65C0" w:rsidP="009D65C0">
      <w:pPr>
        <w:jc w:val="both"/>
        <w:rPr>
          <w:color w:val="FF0000"/>
        </w:rPr>
      </w:pPr>
    </w:p>
    <w:p w:rsidR="009D65C0" w:rsidRPr="00FB3880" w:rsidRDefault="009D65C0" w:rsidP="009D65C0">
      <w:bookmarkStart w:id="0" w:name="_GoBack"/>
      <w:r w:rsidRPr="00FB3880">
        <w:t>Razlika ostvarenih prihoda i primitka te rashoda i izdataka daje višak priho</w:t>
      </w:r>
      <w:r w:rsidR="0079097A" w:rsidRPr="00FB3880">
        <w:t>da</w:t>
      </w:r>
      <w:r w:rsidR="003D14D8" w:rsidRPr="00FB3880">
        <w:t xml:space="preserve"> i primitka u iznosu od 2.460,65</w:t>
      </w:r>
      <w:r w:rsidRPr="00FB3880">
        <w:t xml:space="preserve"> eura (X005). Ako tom iznosu pribrojimo preneseni višak iz pr</w:t>
      </w:r>
      <w:r w:rsidR="00FB3880" w:rsidRPr="00FB3880">
        <w:t>ethodne godine u iznosu od 4.585,40</w:t>
      </w:r>
      <w:r w:rsidRPr="00FB3880">
        <w:t xml:space="preserve"> eura dobit ćemo višak prihoda i primitka za pokriće u slijed</w:t>
      </w:r>
      <w:r w:rsidR="00FB3880" w:rsidRPr="00FB3880">
        <w:t>ećem razdoblju u iznosu 7.046,05</w:t>
      </w:r>
      <w:r w:rsidR="0079097A" w:rsidRPr="00FB3880">
        <w:t xml:space="preserve"> eura</w:t>
      </w:r>
      <w:r w:rsidRPr="00FB3880">
        <w:t>.</w:t>
      </w:r>
    </w:p>
    <w:p w:rsidR="009D65C0" w:rsidRPr="00FB3880" w:rsidRDefault="009D65C0" w:rsidP="009D65C0">
      <w:pPr>
        <w:spacing w:after="120"/>
      </w:pPr>
    </w:p>
    <w:bookmarkEnd w:id="0"/>
    <w:p w:rsidR="009D65C0" w:rsidRPr="009D65C0" w:rsidRDefault="009D65C0" w:rsidP="009D65C0">
      <w:pPr>
        <w:spacing w:after="120"/>
        <w:rPr>
          <w:color w:val="FF0000"/>
        </w:rPr>
      </w:pPr>
    </w:p>
    <w:p w:rsidR="009D65C0" w:rsidRPr="001E38F4" w:rsidRDefault="009D65C0" w:rsidP="009D65C0">
      <w:pPr>
        <w:numPr>
          <w:ilvl w:val="0"/>
          <w:numId w:val="2"/>
        </w:numPr>
        <w:spacing w:after="120"/>
        <w:jc w:val="both"/>
        <w:rPr>
          <w:b/>
          <w:sz w:val="28"/>
          <w:szCs w:val="28"/>
        </w:rPr>
      </w:pPr>
      <w:r w:rsidRPr="001E38F4">
        <w:rPr>
          <w:b/>
          <w:sz w:val="28"/>
          <w:szCs w:val="28"/>
        </w:rPr>
        <w:t>Bilješke uz OBVEZE</w:t>
      </w:r>
    </w:p>
    <w:p w:rsidR="009D65C0" w:rsidRPr="001E38F4" w:rsidRDefault="009D65C0" w:rsidP="009D65C0">
      <w:r w:rsidRPr="001E38F4">
        <w:t>Stanje obveza na početku izvještaj</w:t>
      </w:r>
      <w:r w:rsidR="001E38F4">
        <w:t>nog razdoblja (01. siječnja 2024</w:t>
      </w:r>
      <w:r w:rsidRPr="001E38F4">
        <w:t>. godine) je iznosilo 0,00 eura (V001).</w:t>
      </w:r>
    </w:p>
    <w:p w:rsidR="009D65C0" w:rsidRPr="001E38F4" w:rsidRDefault="009D65C0" w:rsidP="009D65C0">
      <w:r w:rsidRPr="001E38F4">
        <w:t>Povećanje obveza u izvještajno</w:t>
      </w:r>
      <w:r w:rsidR="00A46417">
        <w:t>m razdoblju iznosilo je 9.123,61</w:t>
      </w:r>
      <w:r w:rsidRPr="001E38F4">
        <w:t xml:space="preserve"> eura (V002).</w:t>
      </w:r>
    </w:p>
    <w:p w:rsidR="009D65C0" w:rsidRPr="001E38F4" w:rsidRDefault="009D65C0" w:rsidP="009D65C0">
      <w:r w:rsidRPr="001E38F4">
        <w:t>Podmirene obveze u izvještajno</w:t>
      </w:r>
      <w:r w:rsidR="00A46417">
        <w:t>m razdoblju iznosile su 9.123,61</w:t>
      </w:r>
      <w:r w:rsidRPr="001E38F4">
        <w:t xml:space="preserve"> eura (V004).</w:t>
      </w:r>
    </w:p>
    <w:p w:rsidR="009D65C0" w:rsidRPr="001E38F4" w:rsidRDefault="009D65C0" w:rsidP="009D65C0">
      <w:r w:rsidRPr="001E38F4">
        <w:t>Stanje obveza na kraju izvještajnog razdoblja (V006) iznosi 0,00 kn.</w:t>
      </w:r>
    </w:p>
    <w:p w:rsidR="009D65C0" w:rsidRPr="001E38F4" w:rsidRDefault="009D65C0" w:rsidP="009D65C0">
      <w:pPr>
        <w:tabs>
          <w:tab w:val="center" w:pos="7371"/>
          <w:tab w:val="center" w:pos="11340"/>
        </w:tabs>
        <w:spacing w:after="360" w:line="254" w:lineRule="auto"/>
        <w:contextualSpacing/>
        <w:jc w:val="both"/>
        <w:rPr>
          <w:rFonts w:eastAsia="Calibri"/>
          <w:lang w:eastAsia="en-US"/>
        </w:rPr>
      </w:pPr>
      <w:r w:rsidRPr="009D65C0">
        <w:rPr>
          <w:color w:val="FF0000"/>
        </w:rPr>
        <w:t xml:space="preserve">                                                                                                                     </w:t>
      </w:r>
      <w:r w:rsidRPr="001E38F4">
        <w:rPr>
          <w:rFonts w:eastAsia="Calibri"/>
          <w:lang w:eastAsia="en-US"/>
        </w:rPr>
        <w:t>v.d. ravnatelja:</w:t>
      </w:r>
    </w:p>
    <w:p w:rsidR="009D65C0" w:rsidRPr="001E38F4" w:rsidRDefault="009D65C0" w:rsidP="009D65C0">
      <w:pPr>
        <w:tabs>
          <w:tab w:val="center" w:pos="11340"/>
        </w:tabs>
        <w:spacing w:after="360" w:line="254" w:lineRule="auto"/>
        <w:contextualSpacing/>
        <w:jc w:val="both"/>
        <w:rPr>
          <w:rFonts w:eastAsia="Calibri"/>
          <w:lang w:eastAsia="en-US"/>
        </w:rPr>
      </w:pPr>
      <w:r w:rsidRPr="001E38F4">
        <w:rPr>
          <w:rFonts w:eastAsia="Calibri"/>
          <w:lang w:eastAsia="en-US"/>
        </w:rPr>
        <w:t xml:space="preserve">                                                                                                </w:t>
      </w:r>
    </w:p>
    <w:p w:rsidR="009D65C0" w:rsidRPr="001E38F4" w:rsidRDefault="009D65C0" w:rsidP="009D65C0">
      <w:pPr>
        <w:tabs>
          <w:tab w:val="center" w:pos="11340"/>
        </w:tabs>
        <w:spacing w:after="360" w:line="254" w:lineRule="auto"/>
        <w:contextualSpacing/>
        <w:jc w:val="both"/>
        <w:rPr>
          <w:rFonts w:eastAsia="Calibri"/>
          <w:lang w:eastAsia="en-US"/>
        </w:rPr>
      </w:pPr>
      <w:r w:rsidRPr="001E38F4">
        <w:rPr>
          <w:rFonts w:eastAsia="Calibri"/>
          <w:lang w:eastAsia="en-US"/>
        </w:rPr>
        <w:t xml:space="preserve">                                                                                                                       Ivana </w:t>
      </w:r>
      <w:proofErr w:type="spellStart"/>
      <w:r w:rsidRPr="001E38F4">
        <w:rPr>
          <w:rFonts w:eastAsia="Calibri"/>
          <w:lang w:eastAsia="en-US"/>
        </w:rPr>
        <w:t>Kustić</w:t>
      </w:r>
      <w:proofErr w:type="spellEnd"/>
    </w:p>
    <w:p w:rsidR="009D65C0" w:rsidRPr="009D65C0" w:rsidRDefault="009D65C0" w:rsidP="009D65C0">
      <w:pPr>
        <w:tabs>
          <w:tab w:val="center" w:pos="7371"/>
          <w:tab w:val="center" w:pos="11340"/>
        </w:tabs>
        <w:spacing w:after="360" w:line="254" w:lineRule="auto"/>
        <w:contextualSpacing/>
        <w:jc w:val="both"/>
        <w:rPr>
          <w:rFonts w:eastAsia="Calibri"/>
          <w:color w:val="FF0000"/>
          <w:lang w:eastAsia="en-US"/>
        </w:rPr>
      </w:pPr>
      <w:r w:rsidRPr="009D65C0">
        <w:rPr>
          <w:rFonts w:eastAsia="Calibri"/>
          <w:color w:val="FF0000"/>
          <w:lang w:eastAsia="en-US"/>
        </w:rPr>
        <w:lastRenderedPageBreak/>
        <w:tab/>
        <w:t xml:space="preserve"> </w:t>
      </w:r>
    </w:p>
    <w:p w:rsidR="009F5224" w:rsidRPr="009D65C0" w:rsidRDefault="00FB3880">
      <w:pPr>
        <w:rPr>
          <w:color w:val="FF0000"/>
        </w:rPr>
      </w:pPr>
    </w:p>
    <w:sectPr w:rsidR="009F5224" w:rsidRPr="009D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695"/>
    <w:multiLevelType w:val="hybridMultilevel"/>
    <w:tmpl w:val="5AE6C22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16"/>
    <w:multiLevelType w:val="hybridMultilevel"/>
    <w:tmpl w:val="50229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92909"/>
    <w:multiLevelType w:val="hybridMultilevel"/>
    <w:tmpl w:val="6A72F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C0"/>
    <w:rsid w:val="001E38F4"/>
    <w:rsid w:val="00211C1C"/>
    <w:rsid w:val="003D14D8"/>
    <w:rsid w:val="004129AE"/>
    <w:rsid w:val="0059726A"/>
    <w:rsid w:val="006D5FFC"/>
    <w:rsid w:val="00743CF5"/>
    <w:rsid w:val="0079097A"/>
    <w:rsid w:val="008006B9"/>
    <w:rsid w:val="00917807"/>
    <w:rsid w:val="0094453C"/>
    <w:rsid w:val="009D2371"/>
    <w:rsid w:val="009D65C0"/>
    <w:rsid w:val="009E53E6"/>
    <w:rsid w:val="00A46417"/>
    <w:rsid w:val="00C72881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4</cp:revision>
  <dcterms:created xsi:type="dcterms:W3CDTF">2024-07-08T09:04:00Z</dcterms:created>
  <dcterms:modified xsi:type="dcterms:W3CDTF">2024-07-09T07:11:00Z</dcterms:modified>
</cp:coreProperties>
</file>