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Gradska knjižnica Novalja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400-01/24-01/03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2125-86-24-2</w:t>
      </w:r>
    </w:p>
    <w:p w:rsidR="00445419" w:rsidRDefault="00445419" w:rsidP="004454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Novalja, 27. studenog 2024.g.     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ab/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14. Statuta Gradske knjižnice Novalja, v.d. ravnatelja Gradske knjižnice Novalja donosi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II. IZMJENE I DOPUNE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FINANCIJSKOG PLANA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GRADSKE KNJIŽNICE NOVALJA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2024. GODINU I PROJEKCIJA ZA </w:t>
      </w:r>
      <w:bookmarkStart w:id="0" w:name="_Hlk117748208"/>
      <w:r>
        <w:rPr>
          <w:rFonts w:ascii="Times New Roman" w:eastAsia="Calibri" w:hAnsi="Times New Roman" w:cs="Times New Roman"/>
          <w:b/>
          <w:sz w:val="24"/>
          <w:szCs w:val="24"/>
        </w:rPr>
        <w:t>2025. I 202</w:t>
      </w:r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6. GODINU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5419" w:rsidRDefault="00445419" w:rsidP="00445419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Financijskom planu Gradske knjižnice Novalja za 2024. godinu i projekcije za 2025. i 2026. godinu (Klasa: : 400-01/23-01/03,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2125-86-23-2, od 28. prosinca 2023 .g.) mijenjaju se iznosi prihoda i rashoda u dijelu koji se odnosi na 2024. godinu te se dodaju nove planirane pozicije i aktivnosti i to kako slijedi:</w:t>
      </w: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29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2"/>
        <w:gridCol w:w="5228"/>
        <w:gridCol w:w="1984"/>
        <w:gridCol w:w="1985"/>
        <w:gridCol w:w="1417"/>
        <w:gridCol w:w="1984"/>
      </w:tblGrid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OPĆI DIO</w:t>
            </w: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494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101.285,40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99.285,40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17.300,00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ZADUŽIVANJA/FINANCIRANJA</w:t>
            </w: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 + RASPOLOŽIVA SREDSTVA IZ PRETHODNIH GODINA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  <w:tc>
          <w:tcPr>
            <w:tcW w:w="198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PRIHODI I PRIMICI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PRENESENI VIŠAK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RASHODI I IZDACI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445419" w:rsidTr="00445419">
        <w:trPr>
          <w:trHeight w:val="247"/>
        </w:trPr>
        <w:tc>
          <w:tcPr>
            <w:tcW w:w="33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(1+2-3)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29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4455"/>
        <w:gridCol w:w="1984"/>
        <w:gridCol w:w="2098"/>
        <w:gridCol w:w="1418"/>
        <w:gridCol w:w="1871"/>
      </w:tblGrid>
      <w:tr w:rsidR="00445419" w:rsidTr="00445419">
        <w:trPr>
          <w:trHeight w:val="494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BROJ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PRIHODA / PRIMITAKA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PRIHODI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Opći prihodi i primici proračunski korisnik(država)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(članarina)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103.900,00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103.900,00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103.900,00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103.900,00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101.285,40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-1,97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99.285,40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-9,06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20.085,40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Višak prihoda poslovanja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3.585,40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-55,78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1.585,40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17.300,00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13,07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17.300,00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Opći prihodi i primici proračunski korisnik(država)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(članarina)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Višak prihoda poslovanja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</w:tbl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4455"/>
        <w:gridCol w:w="1984"/>
        <w:gridCol w:w="2097"/>
        <w:gridCol w:w="1419"/>
        <w:gridCol w:w="1871"/>
      </w:tblGrid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POSEBNI DIO</w:t>
            </w: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110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494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209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419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2097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00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 Rekreacija, kultura i religija</w:t>
            </w:r>
          </w:p>
        </w:tc>
        <w:tc>
          <w:tcPr>
            <w:tcW w:w="1984" w:type="dxa"/>
            <w:shd w:val="solid" w:color="00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2097" w:type="dxa"/>
            <w:shd w:val="solid" w:color="00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solid" w:color="00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00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00FF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Funkcijska klasifikacija  082 Službe kulture</w:t>
            </w:r>
          </w:p>
        </w:tc>
        <w:tc>
          <w:tcPr>
            <w:tcW w:w="1984" w:type="dxa"/>
            <w:shd w:val="solid" w:color="00FF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2097" w:type="dxa"/>
            <w:shd w:val="solid" w:color="00FF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shd w:val="solid" w:color="00FF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00FF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</w:tbl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04"/>
        <w:gridCol w:w="4455"/>
        <w:gridCol w:w="1984"/>
        <w:gridCol w:w="2098"/>
        <w:gridCol w:w="1418"/>
        <w:gridCol w:w="1871"/>
      </w:tblGrid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POSEBNI DIO</w:t>
            </w: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247"/>
        </w:trPr>
        <w:tc>
          <w:tcPr>
            <w:tcW w:w="110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55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5419" w:rsidTr="00445419">
        <w:trPr>
          <w:trHeight w:val="494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PROMJENA IZNOS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SVEUKUPNO RASHODI / IZDACI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001 GRADSKA KNJIŽNICA- RASHODI</w:t>
            </w:r>
          </w:p>
        </w:tc>
        <w:tc>
          <w:tcPr>
            <w:tcW w:w="1984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112.000,00</w:t>
            </w:r>
          </w:p>
        </w:tc>
        <w:tc>
          <w:tcPr>
            <w:tcW w:w="2098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Promicanje kulture</w:t>
            </w:r>
          </w:p>
        </w:tc>
        <w:tc>
          <w:tcPr>
            <w:tcW w:w="1984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  <w:tc>
          <w:tcPr>
            <w:tcW w:w="2098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A100000 Rashodi za zaposlene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78.800,00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78.800,00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Materijalni i financijski rashodi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15.400,00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Aktivnost A100002 Nakladništvo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K100000 Nabava dugotrajne imovine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1.3. Opći prihodi i primici proračunski korisnik(država)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1.4. Opći prihodi i primici proračunski korisnik (grad)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3.1. Vlastiti prihodi (članarina)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Razdjel 100 PRENESENA SREDSTVA PRETHODNIH GODINA</w:t>
            </w:r>
          </w:p>
        </w:tc>
        <w:tc>
          <w:tcPr>
            <w:tcW w:w="1984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4.585,40</w:t>
            </w:r>
          </w:p>
        </w:tc>
        <w:tc>
          <w:tcPr>
            <w:tcW w:w="2098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000080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 1000 Promicanje kulture</w:t>
            </w:r>
          </w:p>
        </w:tc>
        <w:tc>
          <w:tcPr>
            <w:tcW w:w="1984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  <w:tc>
          <w:tcPr>
            <w:tcW w:w="2098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1" w:type="dxa"/>
            <w:shd w:val="solid" w:color="9999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Aktivnost A100001 Materijalni i financijski rashodi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3.585,40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-55,78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Višak prihoda poslovanja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3.585,40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-55,78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1.585,40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3.585,40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-55,78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1.585,40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3.585,40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-55,78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1.585,40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Kapitalni projekt K100000 Nabava dugotrajne imovine</w:t>
            </w:r>
          </w:p>
        </w:tc>
        <w:tc>
          <w:tcPr>
            <w:tcW w:w="1984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9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1" w:type="dxa"/>
            <w:shd w:val="solid" w:color="CCCCFF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445419" w:rsidTr="00445419">
        <w:trPr>
          <w:trHeight w:val="247"/>
        </w:trPr>
        <w:tc>
          <w:tcPr>
            <w:tcW w:w="5559" w:type="dxa"/>
            <w:gridSpan w:val="2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Izvor  3.3. Višak prihoda poslovanja</w:t>
            </w:r>
          </w:p>
        </w:tc>
        <w:tc>
          <w:tcPr>
            <w:tcW w:w="1984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9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1" w:type="dxa"/>
            <w:shd w:val="solid" w:color="FFFF99" w:fill="auto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445419" w:rsidTr="00445419">
        <w:trPr>
          <w:trHeight w:val="247"/>
        </w:trPr>
        <w:tc>
          <w:tcPr>
            <w:tcW w:w="110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55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984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209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8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71" w:type="dxa"/>
            <w:hideMark/>
          </w:tcPr>
          <w:p w:rsidR="00445419" w:rsidRDefault="004454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</w:tc>
      </w:tr>
    </w:tbl>
    <w:p w:rsidR="00445419" w:rsidRDefault="00445419" w:rsidP="00445419">
      <w:pPr>
        <w:tabs>
          <w:tab w:val="center" w:pos="11340"/>
        </w:tabs>
        <w:spacing w:before="120" w:after="360" w:line="240" w:lineRule="exact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11340"/>
        </w:tabs>
        <w:spacing w:before="120" w:after="360" w:line="240" w:lineRule="exact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:rsidR="00445419" w:rsidRDefault="00445419" w:rsidP="00445419">
      <w:pPr>
        <w:tabs>
          <w:tab w:val="center" w:pos="11340"/>
        </w:tabs>
        <w:spacing w:before="120" w:after="36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Izmjene i dopune Financijskog plana Gradske knjižnice Novalja za 2024. godinu i projekcije za 2025. i 2026. godinu stupaju na snagu prvog dana od dana dobivanja suglasnosti osnivača, a objavit će se na oglasnoj ploči i internetskoj stranici Knjižnice.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v.d. ravnateljica: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OBRAZLOŽENJE 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II. Izmjene i dopune Financijskog plana Gradske knjižnice Novalja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2024. godinu i projekcija za 2025. i 2026. godinu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Gradske knjižnice Novalja za 2024.godinu i projekcija za 2025.i 2026.g. godinu donesen je 28. prosinca 2023.g., s planiranim prihodima u iznosu od 90.600,00 eura te rashodima u iznosu od 90.600,00 eura.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tabs>
          <w:tab w:val="center" w:pos="11340"/>
        </w:tabs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II. Izmjene i dopune Financijskog plana Gradske knjižnice Novalja za 2024. godinu i projekcija za 2025. i 2026. godinu (dalje u tekstu: II. Izmjene i dopune) sastavljene su sukladno Zakonu o proračunu,</w:t>
      </w:r>
      <w:r>
        <w:rPr>
          <w:rFonts w:ascii="Times New Roman" w:hAnsi="Times New Roman" w:cs="Times New Roman"/>
          <w:sz w:val="24"/>
          <w:szCs w:val="24"/>
        </w:rPr>
        <w:t xml:space="preserve"> Pravilnika o proračunskom računovodstvu i računskom planu te Uputama za izradu Proračuna Grada Novalje</w:t>
      </w:r>
      <w:r>
        <w:rPr>
          <w:rFonts w:ascii="Times New Roman" w:eastAsia="Calibri" w:hAnsi="Times New Roman" w:cs="Times New Roman"/>
          <w:sz w:val="24"/>
          <w:szCs w:val="24"/>
        </w:rPr>
        <w:t>, a temelje se na odredbama koje nalažu izmjene financijskog plana i njegovo uravnoteženje, ukoliko se ukaže potreba za povećanjem ili smanjenjem određenih prihoda ili rashoda. I. izmjene i dopune su predložene zbog povećanja prihoda iz državnog proračuna te zbog ostvarenog viška prihoda iz prethodnog razdoblja.</w:t>
      </w:r>
    </w:p>
    <w:p w:rsidR="00445419" w:rsidRDefault="00445419" w:rsidP="00445419">
      <w:pPr>
        <w:tabs>
          <w:tab w:val="center" w:pos="11340"/>
        </w:tabs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Ove II. Izmjene i dopune usklađene su s II. Izmjenama i dopunama proračuna Grada Novalje za 2024. godinu („Županijski glasnik Ličko-senjske županije“ broj ___________).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te rashodi i izdaci za 2024. godinu iskazani su na razini skupine (druga razina računskog plana) isto kao za 2025. i 2026. godinu. 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slijedi pojašnjenje pojedinih stavki prijedloga.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iznose 112.000,00 EUR.</w:t>
      </w:r>
    </w:p>
    <w:p w:rsidR="00445419" w:rsidRDefault="00445419" w:rsidP="0044541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>
        <w:rPr>
          <w:rFonts w:ascii="Times New Roman" w:hAnsi="Times New Roman" w:cs="Times New Roman"/>
          <w:sz w:val="24"/>
          <w:szCs w:val="24"/>
        </w:rPr>
        <w:t>se ne mijenjaju te ostaje iznos od 6.100,00 eura.</w:t>
      </w:r>
    </w:p>
    <w:p w:rsidR="00445419" w:rsidRDefault="00445419" w:rsidP="00445419">
      <w:pPr>
        <w:pStyle w:val="Odlomakpopisa"/>
        <w:tabs>
          <w:tab w:val="center" w:pos="113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>
        <w:rPr>
          <w:rFonts w:ascii="Times New Roman" w:hAnsi="Times New Roman" w:cs="Times New Roman"/>
          <w:sz w:val="24"/>
          <w:szCs w:val="24"/>
        </w:rPr>
        <w:t xml:space="preserve"> se ne mijenjaju te ostaje iznos od 103.900,00 eura.</w:t>
      </w:r>
    </w:p>
    <w:p w:rsidR="00445419" w:rsidRDefault="00445419" w:rsidP="00445419">
      <w:pPr>
        <w:pStyle w:val="Odlomakpopisa"/>
        <w:tabs>
          <w:tab w:val="center" w:pos="113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prihodi</w:t>
      </w:r>
      <w:r>
        <w:rPr>
          <w:rFonts w:ascii="Times New Roman" w:hAnsi="Times New Roman" w:cs="Times New Roman"/>
          <w:sz w:val="24"/>
          <w:szCs w:val="24"/>
        </w:rPr>
        <w:t xml:space="preserve"> se ne mijenjaju te ostaje iznos od 2.000,00 eura.</w:t>
      </w:r>
    </w:p>
    <w:p w:rsidR="00445419" w:rsidRDefault="00445419" w:rsidP="00445419">
      <w:pPr>
        <w:pStyle w:val="Odlomakpopisa"/>
        <w:tabs>
          <w:tab w:val="center" w:pos="113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Prenesena sredstva prethodnih godina</w:t>
      </w:r>
      <w:r>
        <w:rPr>
          <w:rFonts w:ascii="Times New Roman" w:hAnsi="Times New Roman" w:cs="Times New Roman"/>
          <w:sz w:val="24"/>
          <w:szCs w:val="24"/>
        </w:rPr>
        <w:t xml:space="preserve"> ostaju u istom iznosu od 4.585,40 eura.</w:t>
      </w:r>
    </w:p>
    <w:p w:rsidR="00445419" w:rsidRDefault="00445419" w:rsidP="0044541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:rsidR="00445419" w:rsidRDefault="00445419" w:rsidP="0044541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Sveukupni rashodi se ne mijenjaju te iznose 116.585,40 eura. Sastoje se od Redovnih rashoda poslovanja, Materijalnih i financijskih rashoda i rashodi za nabavu dugotrajne imovine.</w:t>
      </w:r>
    </w:p>
    <w:p w:rsidR="00445419" w:rsidRDefault="00445419" w:rsidP="0044541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REDOVNI  RASHODI  POSLOVANJA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nisu mijenjani i ostaju u iznosu od 78.800,00 eura                              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Materijalni i financijski rashodi </w:t>
      </w:r>
      <w:r>
        <w:rPr>
          <w:rFonts w:ascii="Times New Roman" w:hAnsi="Times New Roman" w:cs="Times New Roman"/>
          <w:sz w:val="24"/>
          <w:szCs w:val="24"/>
        </w:rPr>
        <w:t xml:space="preserve"> ostaju u istom iznosu od 15.400,00 eura, a preraspodjele sredstava prema izvorima su: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R0007 -  Stručno usavršavanje zaposlenika – smanjuje se u cijelosti za 300,00 eura, jer su nam do sada sva usavršavanja bila besplatna, a do daljnjega ne planiramo stručna usavršavanja.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R0008 – Uredski materijal – smanjuje se za 300,00 eura jer je procijenjeno da je preostali iznos biti dovoljan za materijal koji treba za rad knjižnice do kraja godine.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R0009 – Literatura -  smanjuje se za 500,00 eura jer nije potrošeno kroz godinu koliko je predviđeno zbog manjeg broja korisnika koji koriste uslugu čitanja novina i časopisa. 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R0011-0 – Usluge promidžbe i informiranja -  se povećavaju za 500,00 eura zbog dodatnih aktivnosti i događanja u knjižnici.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R0013 – Intelektualne i osobne usluge – povećavaju se za 300,00 eura zbog dodatnih događanja u knjižnici.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R0015 – Reprezentacija -  se povećava za 300,00 eura zbog događanja i programa u knjižnici koji slijede.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Rashodi za nabavu dugotrajne imovine </w:t>
      </w:r>
      <w:r>
        <w:rPr>
          <w:rFonts w:ascii="Times New Roman" w:hAnsi="Times New Roman" w:cs="Times New Roman"/>
          <w:sz w:val="24"/>
          <w:szCs w:val="24"/>
        </w:rPr>
        <w:t>ne mijenjaj se i iznose 14.300,00 eura, a preraspodjele sredstava prema izvorima su: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R0019-0 – Uredska oprema i namještaj – povećava se iznos za 400,00 eura zbog kupnje namještaja za knjižnični arhiv.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R0021 – Umjetnička, literarna i znanstvena djela – smanjuju se u cijelosti zbog nedostupnosti određenih materijala koji su bili planirani za kupnju.</w:t>
      </w:r>
    </w:p>
    <w:p w:rsidR="00445419" w:rsidRDefault="00445419" w:rsidP="00445419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PRENESENA SREDSTVA IZ PRETHODNIH GODINA </w:t>
      </w:r>
      <w:r>
        <w:rPr>
          <w:rFonts w:ascii="Times New Roman" w:hAnsi="Times New Roman" w:cs="Times New Roman"/>
          <w:sz w:val="24"/>
          <w:szCs w:val="24"/>
        </w:rPr>
        <w:t>iznose 4.585,40 te su raspodijeljena prema sljedećim izvorima: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R0023-0 – Usluge promidžbe i informiranja – raspodijeljena su sredstva u iznosu od 500,00 eura zbog događanja koja slijede u knjižnici.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R0024 – Intelektualne i osobne usluge – smanjene su u cijelosti zbog otkazivanja jednog događanja u knjižnici te je taj iznos od 2.000,00 eura preraspodijeljen u drugi izvor (R0029 – Uredska oprema i namještaj).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R0025 – Računalne usluge – smanjuju se za 100,00 eura, procjena je da će preostali iznos od 400,00 eura biti dovoljan do kraja  2024. godine.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R0026 – Reprezentacija – smanjuje se iznos za 100,00 eura jer će preostali iznos od 385,40 eura biti dovoljan za preostala događanja u knjižnici.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R0027 – Kreativna – smanjena su sredstva u iznosu od 300,00 eura jer je procijenjeno da je to dovoljan iznos do kraja 2024.g.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Nabava dugotrajne imovine</w:t>
      </w:r>
    </w:p>
    <w:p w:rsidR="00445419" w:rsidRDefault="00445419" w:rsidP="00445419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R0029 – Uredska oprema i namještaj – raspodijeljena su sredstva u iznosu od 2.000,00 eura zbog neophodnog opremanja knjižnice policama i arhivskim namještajem.</w:t>
      </w:r>
    </w:p>
    <w:p w:rsidR="00445419" w:rsidRDefault="00445419" w:rsidP="00445419">
      <w:pPr>
        <w:pStyle w:val="Odlomakpopisa"/>
        <w:tabs>
          <w:tab w:val="center" w:pos="8505"/>
          <w:tab w:val="center" w:pos="11340"/>
        </w:tabs>
        <w:spacing w:before="120"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v.d. ravnatelja:</w:t>
      </w:r>
    </w:p>
    <w:p w:rsidR="00445419" w:rsidRDefault="00445419" w:rsidP="00445419">
      <w:pPr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</w:p>
    <w:p w:rsidR="009F5224" w:rsidRDefault="00445419"/>
    <w:sectPr w:rsidR="009F5224" w:rsidSect="004454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19"/>
    <w:rsid w:val="00445419"/>
    <w:rsid w:val="0059726A"/>
    <w:rsid w:val="006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19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19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2025-02-06T08:58:00Z</dcterms:created>
  <dcterms:modified xsi:type="dcterms:W3CDTF">2025-02-06T09:20:00Z</dcterms:modified>
</cp:coreProperties>
</file>